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0"/>
        <w:gridCol w:w="3436"/>
        <w:gridCol w:w="3436"/>
        <w:gridCol w:w="3438"/>
        <w:gridCol w:w="3436"/>
      </w:tblGrid>
      <w:tr>
        <w:trPr>
          <w:trHeight w:val="851" w:hRule="atLeast"/>
        </w:trPr>
        <w:tc>
          <w:tcPr>
            <w:tcW w:w="1370" w:type="dxa"/>
          </w:tcPr>
          <w:p>
            <w:pPr>
              <w:pStyle w:val="TableParagraph"/>
              <w:spacing w:before="20"/>
              <w:ind w:left="172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spacing w:before="1"/>
              <w:ind w:left="173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3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2022</w:t>
            </w:r>
          </w:p>
        </w:tc>
        <w:tc>
          <w:tcPr>
            <w:tcW w:w="3436" w:type="dxa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0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8" w:type="dxa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8" w:right="115"/>
              <w:jc w:val="center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spacing w:before="20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BCom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  <w:p>
            <w:pPr>
              <w:pStyle w:val="TableParagraph"/>
              <w:spacing w:before="1"/>
              <w:ind w:left="126" w:right="11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Recommended: L1 Major Core or L1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Foundation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(see notes)</w:t>
            </w:r>
          </w:p>
        </w:tc>
      </w:tr>
      <w:tr>
        <w:trPr>
          <w:trHeight w:val="849" w:hRule="atLeast"/>
        </w:trPr>
        <w:tc>
          <w:tcPr>
            <w:tcW w:w="1370" w:type="dxa"/>
          </w:tcPr>
          <w:p>
            <w:pPr>
              <w:pStyle w:val="TableParagraph"/>
              <w:spacing w:before="20"/>
              <w:ind w:left="172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spacing w:before="1"/>
              <w:ind w:left="172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3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2022</w:t>
            </w:r>
          </w:p>
        </w:tc>
        <w:tc>
          <w:tcPr>
            <w:tcW w:w="3436" w:type="dxa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389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390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28" w:right="115"/>
              <w:jc w:val="center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spacing w:before="20"/>
              <w:ind w:left="127" w:right="63"/>
              <w:jc w:val="center"/>
              <w:rPr>
                <w:sz w:val="22"/>
              </w:rPr>
            </w:pPr>
            <w:r>
              <w:rPr>
                <w:sz w:val="22"/>
              </w:rPr>
              <w:t>BCom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  <w:p>
            <w:pPr>
              <w:pStyle w:val="TableParagraph"/>
              <w:spacing w:before="1"/>
              <w:ind w:left="127" w:right="11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Recommended: L1 Major Core or L1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Foundation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(see notes)</w:t>
            </w:r>
          </w:p>
        </w:tc>
      </w:tr>
      <w:tr>
        <w:trPr>
          <w:trHeight w:val="851" w:hRule="atLeast"/>
        </w:trPr>
        <w:tc>
          <w:tcPr>
            <w:tcW w:w="1370" w:type="dxa"/>
          </w:tcPr>
          <w:p>
            <w:pPr>
              <w:pStyle w:val="TableParagraph"/>
              <w:spacing w:before="23"/>
              <w:ind w:left="172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2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3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2023</w:t>
            </w:r>
          </w:p>
        </w:tc>
        <w:tc>
          <w:tcPr>
            <w:tcW w:w="3436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0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8" w:type="dxa"/>
            <w:shd w:val="clear" w:color="auto" w:fill="D9D9D9"/>
          </w:tcPr>
          <w:p>
            <w:pPr>
              <w:pStyle w:val="TableParagraph"/>
              <w:spacing w:before="23"/>
              <w:ind w:left="128" w:right="115"/>
              <w:jc w:val="center"/>
              <w:rPr>
                <w:sz w:val="22"/>
              </w:rPr>
            </w:pPr>
            <w:r>
              <w:rPr>
                <w:sz w:val="22"/>
              </w:rPr>
              <w:t>BCom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  <w:p>
            <w:pPr>
              <w:pStyle w:val="TableParagraph"/>
              <w:ind w:left="128" w:right="115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Recommended: L2 Major Core or L1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Foundation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(see notes)</w:t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spacing w:before="23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BCom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  <w:p>
            <w:pPr>
              <w:pStyle w:val="TableParagraph"/>
              <w:ind w:left="127" w:right="11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Recommended: L2 Major Core or L1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Foundation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(see notes)</w:t>
            </w:r>
          </w:p>
        </w:tc>
      </w:tr>
      <w:tr>
        <w:trPr>
          <w:trHeight w:val="851" w:hRule="atLeast"/>
        </w:trPr>
        <w:tc>
          <w:tcPr>
            <w:tcW w:w="1370" w:type="dxa"/>
          </w:tcPr>
          <w:p>
            <w:pPr>
              <w:pStyle w:val="TableParagraph"/>
              <w:spacing w:before="23"/>
              <w:ind w:left="172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2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3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2023</w:t>
            </w:r>
          </w:p>
        </w:tc>
        <w:tc>
          <w:tcPr>
            <w:tcW w:w="3436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0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8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8" w:right="115"/>
              <w:jc w:val="center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spacing w:before="23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BCom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  <w:p>
            <w:pPr>
              <w:pStyle w:val="TableParagraph"/>
              <w:ind w:left="127" w:right="11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Recommended: L2 Major Core or L1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Foundation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(see notes)</w:t>
            </w:r>
          </w:p>
        </w:tc>
      </w:tr>
      <w:tr>
        <w:trPr>
          <w:trHeight w:val="851" w:hRule="atLeast"/>
        </w:trPr>
        <w:tc>
          <w:tcPr>
            <w:tcW w:w="1370" w:type="dxa"/>
          </w:tcPr>
          <w:p>
            <w:pPr>
              <w:pStyle w:val="TableParagraph"/>
              <w:spacing w:before="20"/>
              <w:ind w:left="172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3</w:t>
            </w:r>
          </w:p>
          <w:p>
            <w:pPr>
              <w:pStyle w:val="TableParagraph"/>
              <w:spacing w:before="1"/>
              <w:ind w:left="172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3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2024</w:t>
            </w:r>
          </w:p>
        </w:tc>
        <w:tc>
          <w:tcPr>
            <w:tcW w:w="3436" w:type="dxa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389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390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28" w:right="115"/>
              <w:jc w:val="center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8"/>
              <w:rPr>
                <w:sz w:val="22"/>
              </w:rPr>
            </w:pPr>
            <w:r>
              <w:rPr>
                <w:sz w:val="22"/>
              </w:rPr>
              <w:t>BCom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</w:tr>
      <w:tr>
        <w:trPr>
          <w:trHeight w:val="849" w:hRule="atLeast"/>
        </w:trPr>
        <w:tc>
          <w:tcPr>
            <w:tcW w:w="1370" w:type="dxa"/>
          </w:tcPr>
          <w:p>
            <w:pPr>
              <w:pStyle w:val="TableParagraph"/>
              <w:spacing w:before="20"/>
              <w:ind w:left="172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3</w:t>
            </w:r>
          </w:p>
          <w:p>
            <w:pPr>
              <w:pStyle w:val="TableParagraph"/>
              <w:spacing w:before="1"/>
              <w:ind w:left="173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3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2024</w:t>
            </w:r>
          </w:p>
        </w:tc>
        <w:tc>
          <w:tcPr>
            <w:tcW w:w="3436" w:type="dxa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0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8" w:type="dxa"/>
            <w:shd w:val="clear" w:color="auto" w:fill="D9D9D9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8" w:right="115"/>
              <w:jc w:val="center"/>
              <w:rPr>
                <w:sz w:val="22"/>
              </w:rPr>
            </w:pPr>
            <w:r>
              <w:rPr>
                <w:sz w:val="22"/>
              </w:rPr>
              <w:t>BCom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8"/>
              <w:rPr>
                <w:sz w:val="22"/>
              </w:rPr>
            </w:pPr>
            <w:r>
              <w:rPr>
                <w:sz w:val="22"/>
              </w:rPr>
              <w:t>BCom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</w:tr>
      <w:tr>
        <w:trPr>
          <w:trHeight w:val="851" w:hRule="atLeast"/>
        </w:trPr>
        <w:tc>
          <w:tcPr>
            <w:tcW w:w="1370" w:type="dxa"/>
          </w:tcPr>
          <w:p>
            <w:pPr>
              <w:pStyle w:val="TableParagraph"/>
              <w:spacing w:before="23"/>
              <w:ind w:left="172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4</w:t>
            </w:r>
          </w:p>
          <w:p>
            <w:pPr>
              <w:pStyle w:val="TableParagraph"/>
              <w:ind w:left="173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3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2025</w:t>
            </w:r>
          </w:p>
        </w:tc>
        <w:tc>
          <w:tcPr>
            <w:tcW w:w="3436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0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8"/>
              <w:rPr>
                <w:sz w:val="22"/>
              </w:rPr>
            </w:pPr>
            <w:r>
              <w:rPr>
                <w:sz w:val="22"/>
              </w:rPr>
              <w:t>BCom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</w:tr>
      <w:tr>
        <w:trPr>
          <w:trHeight w:val="851" w:hRule="atLeast"/>
        </w:trPr>
        <w:tc>
          <w:tcPr>
            <w:tcW w:w="1370" w:type="dxa"/>
          </w:tcPr>
          <w:p>
            <w:pPr>
              <w:pStyle w:val="TableParagraph"/>
              <w:spacing w:before="23"/>
              <w:ind w:left="172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4</w:t>
            </w:r>
          </w:p>
          <w:p>
            <w:pPr>
              <w:pStyle w:val="TableParagraph"/>
              <w:ind w:left="173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3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2025</w:t>
            </w:r>
          </w:p>
        </w:tc>
        <w:tc>
          <w:tcPr>
            <w:tcW w:w="3436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0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8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8" w:right="115"/>
              <w:jc w:val="center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8"/>
              <w:rPr>
                <w:sz w:val="22"/>
              </w:rPr>
            </w:pPr>
            <w:r>
              <w:rPr>
                <w:sz w:val="22"/>
              </w:rPr>
              <w:t>BCom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</w:tr>
      <w:tr>
        <w:trPr>
          <w:trHeight w:val="851" w:hRule="atLeast"/>
        </w:trPr>
        <w:tc>
          <w:tcPr>
            <w:tcW w:w="1370" w:type="dxa"/>
          </w:tcPr>
          <w:p>
            <w:pPr>
              <w:pStyle w:val="TableParagraph"/>
              <w:spacing w:before="20"/>
              <w:ind w:left="172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5</w:t>
            </w:r>
          </w:p>
          <w:p>
            <w:pPr>
              <w:pStyle w:val="TableParagraph"/>
              <w:spacing w:before="1"/>
              <w:ind w:left="173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3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2026</w:t>
            </w:r>
          </w:p>
        </w:tc>
        <w:tc>
          <w:tcPr>
            <w:tcW w:w="3436" w:type="dxa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0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8" w:type="dxa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8" w:right="115"/>
              <w:jc w:val="center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8"/>
              <w:rPr>
                <w:sz w:val="22"/>
              </w:rPr>
            </w:pPr>
            <w:r>
              <w:rPr>
                <w:sz w:val="22"/>
              </w:rPr>
              <w:t>BCom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</w:tr>
      <w:tr>
        <w:trPr>
          <w:trHeight w:val="851" w:hRule="atLeast"/>
        </w:trPr>
        <w:tc>
          <w:tcPr>
            <w:tcW w:w="1370" w:type="dxa"/>
          </w:tcPr>
          <w:p>
            <w:pPr>
              <w:pStyle w:val="TableParagraph"/>
              <w:spacing w:before="20"/>
              <w:ind w:left="172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5</w:t>
            </w:r>
          </w:p>
          <w:p>
            <w:pPr>
              <w:pStyle w:val="TableParagraph"/>
              <w:spacing w:before="1"/>
              <w:ind w:left="173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3"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2026</w:t>
            </w:r>
          </w:p>
        </w:tc>
        <w:tc>
          <w:tcPr>
            <w:tcW w:w="3436" w:type="dxa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0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8" w:type="dxa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8" w:right="115"/>
              <w:jc w:val="center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8"/>
              <w:rPr>
                <w:sz w:val="22"/>
              </w:rPr>
            </w:pPr>
            <w:r>
              <w:rPr>
                <w:sz w:val="22"/>
              </w:rPr>
              <w:t>BCom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</w:tr>
    </w:tbl>
    <w:p>
      <w:pPr>
        <w:spacing w:before="4"/>
        <w:ind w:left="392" w:right="0" w:firstLine="0"/>
        <w:jc w:val="left"/>
        <w:rPr>
          <w:sz w:val="20"/>
        </w:rPr>
      </w:pPr>
      <w:r>
        <w:rPr>
          <w:sz w:val="20"/>
        </w:rPr>
        <w:t>Additionally,</w:t>
      </w:r>
      <w:r>
        <w:rPr>
          <w:spacing w:val="-3"/>
          <w:sz w:val="20"/>
        </w:rPr>
        <w:t> </w:t>
      </w:r>
      <w:r>
        <w:rPr>
          <w:sz w:val="20"/>
        </w:rPr>
        <w:t>students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complete</w:t>
      </w:r>
      <w:r>
        <w:rPr>
          <w:spacing w:val="-2"/>
          <w:sz w:val="20"/>
        </w:rPr>
        <w:t> </w:t>
      </w:r>
      <w:r>
        <w:rPr>
          <w:sz w:val="20"/>
        </w:rPr>
        <w:t>GENG1000,</w:t>
      </w:r>
      <w:r>
        <w:rPr>
          <w:spacing w:val="-2"/>
          <w:sz w:val="20"/>
        </w:rPr>
        <w:t> </w:t>
      </w:r>
      <w:r>
        <w:rPr>
          <w:sz w:val="20"/>
        </w:rPr>
        <w:t>GENG2000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GENG3000</w:t>
      </w:r>
      <w:r>
        <w:rPr>
          <w:spacing w:val="-3"/>
          <w:sz w:val="20"/>
        </w:rPr>
        <w:t> </w:t>
      </w:r>
      <w:r>
        <w:rPr>
          <w:sz w:val="20"/>
        </w:rPr>
        <w:t>Engineering</w:t>
      </w:r>
      <w:r>
        <w:rPr>
          <w:spacing w:val="-1"/>
          <w:sz w:val="20"/>
        </w:rPr>
        <w:t> </w:t>
      </w:r>
      <w:r>
        <w:rPr>
          <w:sz w:val="20"/>
        </w:rPr>
        <w:t>Practice</w:t>
      </w:r>
      <w:r>
        <w:rPr>
          <w:spacing w:val="-5"/>
          <w:sz w:val="20"/>
        </w:rPr>
        <w:t> </w:t>
      </w:r>
      <w:r>
        <w:rPr>
          <w:sz w:val="20"/>
        </w:rPr>
        <w:t>Skills</w:t>
      </w:r>
      <w:r>
        <w:rPr>
          <w:spacing w:val="-2"/>
          <w:sz w:val="20"/>
        </w:rPr>
        <w:t> </w:t>
      </w:r>
      <w:r>
        <w:rPr>
          <w:sz w:val="20"/>
        </w:rPr>
        <w:t>(0</w:t>
      </w:r>
      <w:r>
        <w:rPr>
          <w:spacing w:val="-3"/>
          <w:sz w:val="20"/>
        </w:rPr>
        <w:t> </w:t>
      </w:r>
      <w:r>
        <w:rPr>
          <w:sz w:val="20"/>
        </w:rPr>
        <w:t>pts</w:t>
      </w:r>
      <w:r>
        <w:rPr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x</w:t>
      </w:r>
      <w:r>
        <w:rPr>
          <w:spacing w:val="-3"/>
          <w:sz w:val="20"/>
        </w:rPr>
        <w:t> </w:t>
      </w:r>
      <w:r>
        <w:rPr>
          <w:sz w:val="20"/>
        </w:rPr>
        <w:t>1week</w:t>
      </w:r>
      <w:r>
        <w:rPr>
          <w:spacing w:val="-3"/>
          <w:sz w:val="20"/>
        </w:rPr>
        <w:t> </w:t>
      </w:r>
      <w:r>
        <w:rPr>
          <w:sz w:val="20"/>
        </w:rPr>
        <w:t>modules)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GENG5010</w:t>
      </w:r>
      <w:r>
        <w:rPr>
          <w:spacing w:val="-3"/>
          <w:sz w:val="20"/>
        </w:rPr>
        <w:t> </w:t>
      </w:r>
      <w:r>
        <w:rPr>
          <w:sz w:val="20"/>
        </w:rPr>
        <w:t>Professional</w:t>
      </w:r>
      <w:r>
        <w:rPr>
          <w:spacing w:val="-4"/>
          <w:sz w:val="20"/>
        </w:rPr>
        <w:t> </w:t>
      </w:r>
      <w:r>
        <w:rPr>
          <w:sz w:val="20"/>
        </w:rPr>
        <w:t>Eng.</w:t>
      </w:r>
      <w:r>
        <w:rPr>
          <w:spacing w:val="-3"/>
          <w:sz w:val="20"/>
        </w:rPr>
        <w:t> </w:t>
      </w:r>
      <w:r>
        <w:rPr>
          <w:sz w:val="20"/>
        </w:rPr>
        <w:t>Portfolio</w:t>
      </w:r>
      <w:r>
        <w:rPr>
          <w:spacing w:val="-3"/>
          <w:sz w:val="20"/>
        </w:rPr>
        <w:t> </w:t>
      </w:r>
      <w:r>
        <w:rPr>
          <w:sz w:val="20"/>
        </w:rPr>
        <w:t>(0</w:t>
      </w:r>
      <w:r>
        <w:rPr>
          <w:spacing w:val="-4"/>
          <w:sz w:val="20"/>
        </w:rPr>
        <w:t> </w:t>
      </w:r>
      <w:r>
        <w:rPr>
          <w:sz w:val="20"/>
        </w:rPr>
        <w:t>pts)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764" w:footer="362" w:top="1500" w:bottom="560" w:left="740" w:right="740"/>
          <w:pgNumType w:start="1"/>
        </w:sectPr>
      </w:pPr>
    </w:p>
    <w:p>
      <w:pPr>
        <w:pStyle w:val="BodyText"/>
        <w:rPr>
          <w:sz w:val="21"/>
        </w:rPr>
      </w:pPr>
    </w:p>
    <w:p>
      <w:pPr>
        <w:pStyle w:val="Heading1"/>
        <w:spacing w:before="56"/>
      </w:pPr>
      <w:r>
        <w:rPr>
          <w:color w:val="1F487C"/>
        </w:rPr>
        <w:t>Special</w:t>
      </w:r>
      <w:r>
        <w:rPr>
          <w:color w:val="1F487C"/>
          <w:spacing w:val="-2"/>
        </w:rPr>
        <w:t> </w:t>
      </w:r>
      <w:r>
        <w:rPr>
          <w:color w:val="1F487C"/>
        </w:rPr>
        <w:t>Note</w:t>
      </w:r>
    </w:p>
    <w:p>
      <w:pPr>
        <w:pStyle w:val="BodyText"/>
        <w:spacing w:line="237" w:lineRule="auto" w:before="43"/>
        <w:ind w:left="392" w:right="960"/>
      </w:pPr>
      <w:r>
        <w:rPr/>
        <w:t>Students in this course who undertake one of the following units in satisfaction of the requirements of the Bachelor of Engineering (Honours) degree are not</w:t>
      </w:r>
      <w:r>
        <w:rPr>
          <w:spacing w:val="-47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 complete</w:t>
      </w:r>
      <w:r>
        <w:rPr>
          <w:spacing w:val="-2"/>
        </w:rPr>
        <w:t> </w:t>
      </w:r>
      <w:r>
        <w:rPr/>
        <w:t>the unit</w:t>
      </w:r>
      <w:r>
        <w:rPr>
          <w:spacing w:val="-1"/>
        </w:rPr>
        <w:t> </w:t>
      </w:r>
      <w:r>
        <w:rPr/>
        <w:t>STAT1520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fulfill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Bachelor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Commerce</w:t>
      </w:r>
      <w:r>
        <w:rPr>
          <w:spacing w:val="-2"/>
        </w:rPr>
        <w:t> </w:t>
      </w:r>
      <w:r>
        <w:rPr/>
        <w:t>(for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majors EXCEPT for</w:t>
      </w:r>
      <w:r>
        <w:rPr>
          <w:spacing w:val="-1"/>
        </w:rPr>
        <w:t> </w:t>
      </w:r>
      <w:r>
        <w:rPr/>
        <w:t>Accounting):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  <w:tab w:pos="1152" w:val="left" w:leader="none"/>
        </w:tabs>
        <w:spacing w:line="240" w:lineRule="auto" w:before="2" w:after="0"/>
        <w:ind w:left="1151" w:right="0" w:hanging="759"/>
        <w:jc w:val="left"/>
        <w:rPr>
          <w:sz w:val="22"/>
        </w:rPr>
      </w:pPr>
      <w:r>
        <w:rPr>
          <w:sz w:val="22"/>
        </w:rPr>
        <w:t>GENG2012</w:t>
      </w:r>
      <w:r>
        <w:rPr>
          <w:spacing w:val="-4"/>
          <w:sz w:val="22"/>
        </w:rPr>
        <w:t> </w:t>
      </w:r>
      <w:r>
        <w:rPr>
          <w:sz w:val="22"/>
        </w:rPr>
        <w:t>and/or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  <w:tab w:pos="1152" w:val="left" w:leader="none"/>
        </w:tabs>
        <w:spacing w:line="240" w:lineRule="auto" w:before="0" w:after="0"/>
        <w:ind w:left="1151" w:right="0" w:hanging="759"/>
        <w:jc w:val="left"/>
        <w:rPr>
          <w:sz w:val="22"/>
        </w:rPr>
      </w:pPr>
      <w:r>
        <w:rPr>
          <w:sz w:val="22"/>
        </w:rPr>
        <w:t>GENG5507</w:t>
      </w:r>
    </w:p>
    <w:p>
      <w:pPr>
        <w:pStyle w:val="BodyText"/>
        <w:ind w:left="393" w:right="444"/>
      </w:pPr>
      <w:r>
        <w:rPr/>
        <w:t>In these cases, students can replace STAT1520 with an elective unit in the Bachelor of Commerce or another unit required by their course of study. The exceptions</w:t>
      </w:r>
      <w:r>
        <w:rPr>
          <w:spacing w:val="-47"/>
        </w:rPr>
        <w:t> </w:t>
      </w:r>
      <w:r>
        <w:rPr/>
        <w:t>to</w:t>
      </w:r>
      <w:r>
        <w:rPr>
          <w:spacing w:val="-2"/>
        </w:rPr>
        <w:t> </w:t>
      </w:r>
      <w:r>
        <w:rPr/>
        <w:t>this are:</w:t>
      </w:r>
    </w:p>
    <w:p>
      <w:pPr>
        <w:pStyle w:val="ListParagraph"/>
        <w:numPr>
          <w:ilvl w:val="1"/>
          <w:numId w:val="1"/>
        </w:numPr>
        <w:tabs>
          <w:tab w:pos="1474" w:val="left" w:leader="none"/>
        </w:tabs>
        <w:spacing w:line="240" w:lineRule="auto" w:before="0" w:after="0"/>
        <w:ind w:left="1473" w:right="0" w:hanging="361"/>
        <w:jc w:val="left"/>
        <w:rPr>
          <w:sz w:val="22"/>
        </w:rPr>
      </w:pPr>
      <w:r>
        <w:rPr>
          <w:sz w:val="22"/>
        </w:rPr>
        <w:t>Students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Accounting</w:t>
      </w:r>
      <w:r>
        <w:rPr>
          <w:spacing w:val="-3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complete</w:t>
      </w:r>
      <w:r>
        <w:rPr>
          <w:spacing w:val="-4"/>
          <w:sz w:val="22"/>
        </w:rPr>
        <w:t> </w:t>
      </w:r>
      <w:r>
        <w:rPr>
          <w:sz w:val="22"/>
        </w:rPr>
        <w:t>STAT1520 to</w:t>
      </w:r>
      <w:r>
        <w:rPr>
          <w:spacing w:val="-2"/>
          <w:sz w:val="22"/>
        </w:rPr>
        <w:t> </w:t>
      </w:r>
      <w:r>
        <w:rPr>
          <w:sz w:val="22"/>
        </w:rPr>
        <w:t>meet</w:t>
      </w:r>
      <w:r>
        <w:rPr>
          <w:spacing w:val="-3"/>
          <w:sz w:val="22"/>
        </w:rPr>
        <w:t> </w:t>
      </w:r>
      <w:r>
        <w:rPr>
          <w:sz w:val="22"/>
        </w:rPr>
        <w:t>accreditation</w:t>
      </w:r>
      <w:r>
        <w:rPr>
          <w:spacing w:val="-3"/>
          <w:sz w:val="22"/>
        </w:rPr>
        <w:t> </w:t>
      </w:r>
      <w:r>
        <w:rPr>
          <w:sz w:val="22"/>
        </w:rPr>
        <w:t>requirements.</w:t>
      </w:r>
    </w:p>
    <w:p>
      <w:pPr>
        <w:pStyle w:val="ListParagraph"/>
        <w:numPr>
          <w:ilvl w:val="1"/>
          <w:numId w:val="1"/>
        </w:numPr>
        <w:tabs>
          <w:tab w:pos="1474" w:val="left" w:leader="none"/>
        </w:tabs>
        <w:spacing w:line="240" w:lineRule="auto" w:before="1" w:after="0"/>
        <w:ind w:left="1473" w:right="760" w:hanging="360"/>
        <w:jc w:val="left"/>
        <w:rPr>
          <w:sz w:val="22"/>
        </w:rPr>
      </w:pPr>
      <w:r>
        <w:rPr>
          <w:sz w:val="22"/>
        </w:rPr>
        <w:t>Students in the BE Biomedical Engineering and Electrical and Electronic Engineering majors: students do not take GENG2012 or GENG5507 in these</w:t>
      </w:r>
      <w:r>
        <w:rPr>
          <w:spacing w:val="-47"/>
          <w:sz w:val="22"/>
        </w:rPr>
        <w:t> </w:t>
      </w:r>
      <w:r>
        <w:rPr>
          <w:sz w:val="22"/>
        </w:rPr>
        <w:t>majors,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so</w:t>
      </w:r>
      <w:r>
        <w:rPr>
          <w:spacing w:val="1"/>
          <w:sz w:val="22"/>
        </w:rPr>
        <w:t> </w:t>
      </w:r>
      <w:r>
        <w:rPr>
          <w:sz w:val="22"/>
        </w:rPr>
        <w:t>STAT1520</w:t>
      </w:r>
      <w:r>
        <w:rPr>
          <w:spacing w:val="-1"/>
          <w:sz w:val="22"/>
        </w:rPr>
        <w:t> </w:t>
      </w:r>
      <w:r>
        <w:rPr>
          <w:sz w:val="22"/>
        </w:rPr>
        <w:t>must be</w:t>
      </w:r>
      <w:r>
        <w:rPr>
          <w:spacing w:val="1"/>
          <w:sz w:val="22"/>
        </w:rPr>
        <w:t> </w:t>
      </w:r>
      <w:r>
        <w:rPr>
          <w:sz w:val="22"/>
        </w:rPr>
        <w:t>taken to</w:t>
      </w:r>
      <w:r>
        <w:rPr>
          <w:spacing w:val="1"/>
          <w:sz w:val="22"/>
        </w:rPr>
        <w:t> </w:t>
      </w:r>
      <w:r>
        <w:rPr>
          <w:sz w:val="22"/>
        </w:rPr>
        <w:t>fulfil</w:t>
      </w:r>
      <w:r>
        <w:rPr>
          <w:spacing w:val="-1"/>
          <w:sz w:val="22"/>
        </w:rPr>
        <w:t> </w:t>
      </w:r>
      <w:r>
        <w:rPr>
          <w:sz w:val="22"/>
        </w:rPr>
        <w:t>requirements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BCOM</w:t>
      </w:r>
      <w:r>
        <w:rPr>
          <w:spacing w:val="-2"/>
          <w:sz w:val="22"/>
        </w:rPr>
        <w:t> </w:t>
      </w:r>
      <w:r>
        <w:rPr>
          <w:sz w:val="22"/>
        </w:rPr>
        <w:t>component.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393"/>
      </w:pPr>
      <w:r>
        <w:rPr>
          <w:color w:val="1F487C"/>
        </w:rPr>
        <w:t>Commerce</w:t>
      </w:r>
      <w:r>
        <w:rPr>
          <w:color w:val="1F487C"/>
          <w:spacing w:val="-6"/>
        </w:rPr>
        <w:t> </w:t>
      </w:r>
      <w:r>
        <w:rPr>
          <w:color w:val="1F487C"/>
        </w:rPr>
        <w:t>Component</w:t>
      </w:r>
    </w:p>
    <w:p>
      <w:pPr>
        <w:pStyle w:val="BodyText"/>
        <w:ind w:left="393" w:right="444"/>
      </w:pPr>
      <w:r>
        <w:rPr/>
        <w:t>It is recommended that students take the Level 1 and Level 2 Core units of their BCOM major during the first two years of study.</w:t>
      </w:r>
      <w:r>
        <w:rPr>
          <w:spacing w:val="1"/>
        </w:rPr>
        <w:t> </w:t>
      </w:r>
      <w:r>
        <w:rPr/>
        <w:t>This will offer you the option to</w:t>
      </w:r>
      <w:r>
        <w:rPr>
          <w:spacing w:val="-47"/>
        </w:rPr>
        <w:t> </w:t>
      </w:r>
      <w:r>
        <w:rPr/>
        <w:t>exit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combined</w:t>
      </w:r>
      <w:r>
        <w:rPr>
          <w:spacing w:val="-1"/>
        </w:rPr>
        <w:t> </w:t>
      </w:r>
      <w:r>
        <w:rPr/>
        <w:t>degree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Year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(if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decide</w:t>
      </w:r>
      <w:r>
        <w:rPr>
          <w:spacing w:val="1"/>
        </w:rPr>
        <w:t> </w:t>
      </w:r>
      <w:r>
        <w:rPr/>
        <w:t>to)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complete</w:t>
      </w:r>
      <w:r>
        <w:rPr>
          <w:spacing w:val="1"/>
        </w:rPr>
        <w:t> </w:t>
      </w:r>
      <w:r>
        <w:rPr/>
        <w:t>all</w:t>
      </w:r>
      <w:r>
        <w:rPr>
          <w:spacing w:val="-2"/>
        </w:rPr>
        <w:t> </w:t>
      </w:r>
      <w:r>
        <w:rPr/>
        <w:t>remaining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of the BCOM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Year</w:t>
      </w:r>
      <w:r>
        <w:rPr>
          <w:spacing w:val="-3"/>
        </w:rPr>
        <w:t> </w:t>
      </w:r>
      <w:r>
        <w:rPr/>
        <w:t>3.</w:t>
      </w: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409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1"/>
        <w:gridCol w:w="1210"/>
        <w:gridCol w:w="1210"/>
        <w:gridCol w:w="1293"/>
        <w:gridCol w:w="1223"/>
        <w:gridCol w:w="1209"/>
        <w:gridCol w:w="2308"/>
        <w:gridCol w:w="1863"/>
        <w:gridCol w:w="1272"/>
        <w:gridCol w:w="839"/>
      </w:tblGrid>
      <w:tr>
        <w:trPr>
          <w:trHeight w:val="262" w:hRule="atLeast"/>
        </w:trPr>
        <w:tc>
          <w:tcPr>
            <w:tcW w:w="2101" w:type="dxa"/>
            <w:tcBorders>
              <w:bottom w:val="single" w:sz="6" w:space="0" w:color="8EA9D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5" w:type="dxa"/>
            <w:gridSpan w:val="5"/>
            <w:tcBorders>
              <w:bottom w:val="single" w:sz="6" w:space="0" w:color="8EA9DB"/>
            </w:tcBorders>
          </w:tcPr>
          <w:p>
            <w:pPr>
              <w:pStyle w:val="TableParagraph"/>
              <w:spacing w:line="225" w:lineRule="exact" w:before="17"/>
              <w:ind w:left="194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Foundation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Units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BCOM</w:t>
            </w:r>
          </w:p>
        </w:tc>
        <w:tc>
          <w:tcPr>
            <w:tcW w:w="2308" w:type="dxa"/>
            <w:tcBorders>
              <w:bottom w:val="single" w:sz="6" w:space="0" w:color="8EA9D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bottom w:val="single" w:sz="6" w:space="0" w:color="8EA9D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gridSpan w:val="2"/>
            <w:tcBorders>
              <w:bottom w:val="single" w:sz="6" w:space="0" w:color="8EA9D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2101" w:type="dxa"/>
            <w:tcBorders>
              <w:top w:val="single" w:sz="6" w:space="0" w:color="8EA9DB"/>
              <w:left w:val="single" w:sz="6" w:space="0" w:color="8EA9DB"/>
              <w:bottom w:val="single" w:sz="6" w:space="0" w:color="8EA9DB"/>
              <w:right w:val="nil"/>
            </w:tcBorders>
            <w:shd w:val="clear" w:color="auto" w:fill="4471C4"/>
          </w:tcPr>
          <w:p>
            <w:pPr>
              <w:pStyle w:val="TableParagraph"/>
              <w:spacing w:line="239" w:lineRule="exact" w:before="30"/>
              <w:ind w:left="34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Major</w:t>
            </w:r>
          </w:p>
        </w:tc>
        <w:tc>
          <w:tcPr>
            <w:tcW w:w="1210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4471C4"/>
          </w:tcPr>
          <w:p>
            <w:pPr>
              <w:pStyle w:val="TableParagraph"/>
              <w:spacing w:line="239" w:lineRule="exact" w:before="30"/>
              <w:ind w:left="42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ACCT1101</w:t>
            </w:r>
          </w:p>
        </w:tc>
        <w:tc>
          <w:tcPr>
            <w:tcW w:w="1210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4471C4"/>
          </w:tcPr>
          <w:p>
            <w:pPr>
              <w:pStyle w:val="TableParagraph"/>
              <w:spacing w:line="239" w:lineRule="exact" w:before="30"/>
              <w:ind w:left="42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ECON1101</w:t>
            </w:r>
          </w:p>
        </w:tc>
        <w:tc>
          <w:tcPr>
            <w:tcW w:w="1293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4471C4"/>
          </w:tcPr>
          <w:p>
            <w:pPr>
              <w:pStyle w:val="TableParagraph"/>
              <w:spacing w:line="239" w:lineRule="exact" w:before="30"/>
              <w:ind w:left="43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MGMT1135</w:t>
            </w:r>
          </w:p>
        </w:tc>
        <w:tc>
          <w:tcPr>
            <w:tcW w:w="1223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4471C4"/>
          </w:tcPr>
          <w:p>
            <w:pPr>
              <w:pStyle w:val="TableParagraph"/>
              <w:spacing w:line="239" w:lineRule="exact" w:before="30"/>
              <w:ind w:left="44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MKTG1203</w:t>
            </w:r>
          </w:p>
        </w:tc>
        <w:tc>
          <w:tcPr>
            <w:tcW w:w="1209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4471C4"/>
          </w:tcPr>
          <w:p>
            <w:pPr>
              <w:pStyle w:val="TableParagraph"/>
              <w:spacing w:line="239" w:lineRule="exact" w:before="30"/>
              <w:ind w:left="46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STAT1520</w:t>
            </w:r>
          </w:p>
        </w:tc>
        <w:tc>
          <w:tcPr>
            <w:tcW w:w="2308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4471C4"/>
          </w:tcPr>
          <w:p>
            <w:pPr>
              <w:pStyle w:val="TableParagraph"/>
              <w:spacing w:line="239" w:lineRule="exact" w:before="30"/>
              <w:ind w:left="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Level</w:t>
            </w:r>
            <w:r>
              <w:rPr>
                <w:b/>
                <w:color w:val="FFFFFF"/>
                <w:spacing w:val="1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Core</w:t>
            </w:r>
          </w:p>
        </w:tc>
        <w:tc>
          <w:tcPr>
            <w:tcW w:w="1863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4471C4"/>
          </w:tcPr>
          <w:p>
            <w:pPr>
              <w:pStyle w:val="TableParagraph"/>
              <w:spacing w:line="239" w:lineRule="exact" w:before="30"/>
              <w:ind w:left="4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Sequence</w:t>
            </w:r>
          </w:p>
        </w:tc>
        <w:tc>
          <w:tcPr>
            <w:tcW w:w="1272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4471C4"/>
          </w:tcPr>
          <w:p>
            <w:pPr>
              <w:pStyle w:val="TableParagraph"/>
              <w:spacing w:line="239" w:lineRule="exact" w:before="30"/>
              <w:ind w:left="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BCom</w:t>
            </w:r>
            <w:r>
              <w:rPr>
                <w:b/>
                <w:color w:val="FFFFFF"/>
                <w:spacing w:val="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Reqmt</w:t>
            </w:r>
          </w:p>
        </w:tc>
        <w:tc>
          <w:tcPr>
            <w:tcW w:w="839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4471C4"/>
          </w:tcPr>
          <w:p>
            <w:pPr>
              <w:pStyle w:val="TableParagraph"/>
              <w:spacing w:before="4"/>
              <w:rPr>
                <w:sz w:val="3"/>
              </w:rPr>
            </w:pPr>
          </w:p>
          <w:p>
            <w:pPr>
              <w:pStyle w:val="TableParagraph"/>
              <w:spacing w:line="234" w:lineRule="exact"/>
              <w:ind w:left="616" w:right="-58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149588" cy="14897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88" cy="148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289" w:hRule="atLeast"/>
        </w:trPr>
        <w:tc>
          <w:tcPr>
            <w:tcW w:w="2101" w:type="dxa"/>
            <w:tcBorders>
              <w:top w:val="single" w:sz="6" w:space="0" w:color="8EA9DB"/>
              <w:left w:val="single" w:sz="6" w:space="0" w:color="8EA9DB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34"/>
              <w:rPr>
                <w:sz w:val="18"/>
              </w:rPr>
            </w:pPr>
            <w:r>
              <w:rPr>
                <w:sz w:val="18"/>
              </w:rPr>
              <w:t>Accounting</w:t>
            </w:r>
          </w:p>
        </w:tc>
        <w:tc>
          <w:tcPr>
            <w:tcW w:w="1210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210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47"/>
              <w:rPr>
                <w:sz w:val="18"/>
              </w:rPr>
            </w:pPr>
            <w:r>
              <w:rPr>
                <w:sz w:val="18"/>
              </w:rPr>
              <w:t>ACCT1101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FINA1221</w:t>
            </w:r>
          </w:p>
        </w:tc>
        <w:tc>
          <w:tcPr>
            <w:tcW w:w="1863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49"/>
              <w:rPr>
                <w:sz w:val="18"/>
              </w:rPr>
            </w:pPr>
            <w:r>
              <w:rPr>
                <w:sz w:val="18"/>
              </w:rPr>
              <w:t>2+3+3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2+2+4</w:t>
            </w:r>
          </w:p>
        </w:tc>
        <w:tc>
          <w:tcPr>
            <w:tcW w:w="1272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51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L1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others</w:t>
            </w:r>
          </w:p>
        </w:tc>
        <w:tc>
          <w:tcPr>
            <w:tcW w:w="839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46"/>
              <w:rPr>
                <w:sz w:val="18"/>
              </w:rPr>
            </w:pPr>
            <w:r>
              <w:rPr>
                <w:sz w:val="18"/>
              </w:rPr>
              <w:t>=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12</w:t>
            </w:r>
          </w:p>
        </w:tc>
      </w:tr>
      <w:tr>
        <w:trPr>
          <w:trHeight w:val="289" w:hRule="atLeast"/>
        </w:trPr>
        <w:tc>
          <w:tcPr>
            <w:tcW w:w="2101" w:type="dxa"/>
            <w:tcBorders>
              <w:top w:val="single" w:sz="6" w:space="0" w:color="8EA9DB"/>
              <w:left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spacing w:before="36"/>
              <w:ind w:left="34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Law</w:t>
            </w:r>
          </w:p>
        </w:tc>
        <w:tc>
          <w:tcPr>
            <w:tcW w:w="1210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spacing w:before="36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210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spacing w:before="36"/>
              <w:ind w:left="40"/>
              <w:rPr>
                <w:sz w:val="18"/>
              </w:rPr>
            </w:pPr>
            <w:r>
              <w:rPr>
                <w:sz w:val="18"/>
              </w:rPr>
              <w:t>ACCT1101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LAWS1104</w:t>
            </w:r>
          </w:p>
        </w:tc>
        <w:tc>
          <w:tcPr>
            <w:tcW w:w="1863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spacing w:before="36"/>
              <w:ind w:left="42"/>
              <w:rPr>
                <w:sz w:val="18"/>
              </w:rPr>
            </w:pPr>
            <w:r>
              <w:rPr>
                <w:sz w:val="18"/>
              </w:rPr>
              <w:t>2+3+3</w:t>
            </w:r>
          </w:p>
        </w:tc>
        <w:tc>
          <w:tcPr>
            <w:tcW w:w="2111" w:type="dxa"/>
            <w:gridSpan w:val="2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spacing w:before="36"/>
              <w:ind w:left="44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L1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others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=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12</w:t>
            </w:r>
          </w:p>
        </w:tc>
      </w:tr>
      <w:tr>
        <w:trPr>
          <w:trHeight w:val="289" w:hRule="atLeast"/>
        </w:trPr>
        <w:tc>
          <w:tcPr>
            <w:tcW w:w="2101" w:type="dxa"/>
            <w:tcBorders>
              <w:top w:val="single" w:sz="6" w:space="0" w:color="8EA9DB"/>
              <w:left w:val="single" w:sz="6" w:space="0" w:color="8EA9DB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34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</w:tc>
        <w:tc>
          <w:tcPr>
            <w:tcW w:w="1210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293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47"/>
              <w:rPr>
                <w:sz w:val="18"/>
              </w:rPr>
            </w:pPr>
            <w:r>
              <w:rPr>
                <w:sz w:val="18"/>
              </w:rPr>
              <w:t>ECON1101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+ ECON1102</w:t>
            </w:r>
          </w:p>
        </w:tc>
        <w:tc>
          <w:tcPr>
            <w:tcW w:w="1863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49"/>
              <w:rPr>
                <w:sz w:val="18"/>
              </w:rPr>
            </w:pPr>
            <w:r>
              <w:rPr>
                <w:sz w:val="18"/>
              </w:rPr>
              <w:t>2+3+3</w:t>
            </w:r>
          </w:p>
        </w:tc>
        <w:tc>
          <w:tcPr>
            <w:tcW w:w="1272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51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L1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others</w:t>
            </w:r>
          </w:p>
        </w:tc>
        <w:tc>
          <w:tcPr>
            <w:tcW w:w="839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46"/>
              <w:rPr>
                <w:sz w:val="18"/>
              </w:rPr>
            </w:pPr>
            <w:r>
              <w:rPr>
                <w:sz w:val="18"/>
              </w:rPr>
              <w:t>=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12</w:t>
            </w:r>
          </w:p>
        </w:tc>
      </w:tr>
      <w:tr>
        <w:trPr>
          <w:trHeight w:val="289" w:hRule="atLeast"/>
        </w:trPr>
        <w:tc>
          <w:tcPr>
            <w:tcW w:w="2101" w:type="dxa"/>
            <w:tcBorders>
              <w:top w:val="single" w:sz="6" w:space="0" w:color="8EA9DB"/>
              <w:left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spacing w:before="36"/>
              <w:ind w:left="34"/>
              <w:rPr>
                <w:sz w:val="18"/>
              </w:rPr>
            </w:pPr>
            <w:r>
              <w:rPr>
                <w:sz w:val="18"/>
              </w:rPr>
              <w:t>Finance</w:t>
            </w:r>
          </w:p>
        </w:tc>
        <w:tc>
          <w:tcPr>
            <w:tcW w:w="1210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spacing w:before="36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210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spacing w:before="36"/>
              <w:ind w:left="40"/>
              <w:rPr>
                <w:sz w:val="18"/>
              </w:rPr>
            </w:pPr>
            <w:r>
              <w:rPr>
                <w:sz w:val="18"/>
              </w:rPr>
              <w:t>ACCT1101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FINA1221</w:t>
            </w:r>
          </w:p>
        </w:tc>
        <w:tc>
          <w:tcPr>
            <w:tcW w:w="1863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spacing w:before="36"/>
              <w:ind w:left="42"/>
              <w:rPr>
                <w:sz w:val="18"/>
              </w:rPr>
            </w:pPr>
            <w:r>
              <w:rPr>
                <w:sz w:val="18"/>
              </w:rPr>
              <w:t>2+3+3</w:t>
            </w:r>
          </w:p>
        </w:tc>
        <w:tc>
          <w:tcPr>
            <w:tcW w:w="2111" w:type="dxa"/>
            <w:gridSpan w:val="2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spacing w:before="36"/>
              <w:ind w:left="44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L1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others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=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12</w:t>
            </w:r>
          </w:p>
        </w:tc>
      </w:tr>
      <w:tr>
        <w:trPr>
          <w:trHeight w:val="289" w:hRule="atLeast"/>
        </w:trPr>
        <w:tc>
          <w:tcPr>
            <w:tcW w:w="2101" w:type="dxa"/>
            <w:tcBorders>
              <w:top w:val="single" w:sz="6" w:space="0" w:color="8EA9DB"/>
              <w:left w:val="single" w:sz="6" w:space="0" w:color="8EA9DB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34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  <w:tc>
          <w:tcPr>
            <w:tcW w:w="1210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1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223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47"/>
              <w:rPr>
                <w:sz w:val="18"/>
              </w:rPr>
            </w:pPr>
            <w:r>
              <w:rPr>
                <w:sz w:val="18"/>
              </w:rPr>
              <w:t>MGMT1135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MGMT1136</w:t>
            </w:r>
          </w:p>
        </w:tc>
        <w:tc>
          <w:tcPr>
            <w:tcW w:w="1863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91"/>
              <w:rPr>
                <w:sz w:val="18"/>
              </w:rPr>
            </w:pPr>
            <w:r>
              <w:rPr>
                <w:sz w:val="18"/>
              </w:rPr>
              <w:t>2+2+4</w:t>
            </w:r>
          </w:p>
        </w:tc>
        <w:tc>
          <w:tcPr>
            <w:tcW w:w="1272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51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L1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others</w:t>
            </w:r>
          </w:p>
        </w:tc>
        <w:tc>
          <w:tcPr>
            <w:tcW w:w="839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46"/>
              <w:rPr>
                <w:sz w:val="18"/>
              </w:rPr>
            </w:pPr>
            <w:r>
              <w:rPr>
                <w:sz w:val="18"/>
              </w:rPr>
              <w:t>=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12</w:t>
            </w:r>
          </w:p>
        </w:tc>
      </w:tr>
      <w:tr>
        <w:trPr>
          <w:trHeight w:val="289" w:hRule="atLeast"/>
        </w:trPr>
        <w:tc>
          <w:tcPr>
            <w:tcW w:w="2101" w:type="dxa"/>
            <w:tcBorders>
              <w:top w:val="single" w:sz="6" w:space="0" w:color="8EA9DB"/>
              <w:left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spacing w:before="36"/>
              <w:ind w:left="34"/>
              <w:rPr>
                <w:sz w:val="18"/>
              </w:rPr>
            </w:pPr>
            <w:r>
              <w:rPr>
                <w:sz w:val="18"/>
              </w:rPr>
              <w:t>HRMan</w:t>
            </w:r>
          </w:p>
        </w:tc>
        <w:tc>
          <w:tcPr>
            <w:tcW w:w="1210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spacing w:before="36"/>
              <w:ind w:left="1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223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spacing w:before="36"/>
              <w:ind w:left="40"/>
              <w:rPr>
                <w:sz w:val="18"/>
              </w:rPr>
            </w:pPr>
            <w:r>
              <w:rPr>
                <w:sz w:val="18"/>
              </w:rPr>
              <w:t>MGMT1135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MGMT1136</w:t>
            </w:r>
          </w:p>
        </w:tc>
        <w:tc>
          <w:tcPr>
            <w:tcW w:w="1863" w:type="dxa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spacing w:before="36"/>
              <w:ind w:left="84"/>
              <w:rPr>
                <w:sz w:val="18"/>
              </w:rPr>
            </w:pPr>
            <w:r>
              <w:rPr>
                <w:sz w:val="18"/>
              </w:rPr>
              <w:t>2+2+4</w:t>
            </w:r>
          </w:p>
        </w:tc>
        <w:tc>
          <w:tcPr>
            <w:tcW w:w="2111" w:type="dxa"/>
            <w:gridSpan w:val="2"/>
            <w:tcBorders>
              <w:top w:val="single" w:sz="6" w:space="0" w:color="8EA9DB"/>
              <w:bottom w:val="single" w:sz="6" w:space="0" w:color="8EA9DB"/>
            </w:tcBorders>
          </w:tcPr>
          <w:p>
            <w:pPr>
              <w:pStyle w:val="TableParagraph"/>
              <w:spacing w:before="36"/>
              <w:ind w:left="44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L1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others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=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12</w:t>
            </w:r>
          </w:p>
        </w:tc>
      </w:tr>
      <w:tr>
        <w:trPr>
          <w:trHeight w:val="289" w:hRule="atLeast"/>
        </w:trPr>
        <w:tc>
          <w:tcPr>
            <w:tcW w:w="2101" w:type="dxa"/>
            <w:tcBorders>
              <w:top w:val="single" w:sz="6" w:space="0" w:color="8EA9DB"/>
              <w:left w:val="single" w:sz="6" w:space="0" w:color="8EA9DB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34"/>
              <w:rPr>
                <w:sz w:val="18"/>
              </w:rPr>
            </w:pPr>
            <w:r>
              <w:rPr>
                <w:sz w:val="18"/>
              </w:rPr>
              <w:t>Marketing</w:t>
            </w:r>
          </w:p>
        </w:tc>
        <w:tc>
          <w:tcPr>
            <w:tcW w:w="1210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209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47"/>
              <w:rPr>
                <w:sz w:val="18"/>
              </w:rPr>
            </w:pPr>
            <w:r>
              <w:rPr>
                <w:sz w:val="18"/>
              </w:rPr>
              <w:t>MKTG1203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+ MKTG1204</w:t>
            </w:r>
          </w:p>
        </w:tc>
        <w:tc>
          <w:tcPr>
            <w:tcW w:w="1863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91"/>
              <w:rPr>
                <w:sz w:val="18"/>
              </w:rPr>
            </w:pPr>
            <w:r>
              <w:rPr>
                <w:sz w:val="18"/>
              </w:rPr>
              <w:t>2+2+4</w:t>
            </w:r>
          </w:p>
        </w:tc>
        <w:tc>
          <w:tcPr>
            <w:tcW w:w="1272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51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L1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others</w:t>
            </w:r>
          </w:p>
        </w:tc>
        <w:tc>
          <w:tcPr>
            <w:tcW w:w="839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0F1"/>
          </w:tcPr>
          <w:p>
            <w:pPr>
              <w:pStyle w:val="TableParagraph"/>
              <w:spacing w:before="36"/>
              <w:ind w:left="46"/>
              <w:rPr>
                <w:sz w:val="18"/>
              </w:rPr>
            </w:pPr>
            <w:r>
              <w:rPr>
                <w:sz w:val="18"/>
              </w:rPr>
              <w:t>=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12</w:t>
            </w:r>
          </w:p>
        </w:tc>
      </w:tr>
    </w:tbl>
    <w:p>
      <w:pPr>
        <w:tabs>
          <w:tab w:pos="6152" w:val="left" w:leader="none"/>
        </w:tabs>
        <w:spacing w:before="61"/>
        <w:ind w:left="392" w:right="0" w:firstLine="0"/>
        <w:jc w:val="left"/>
        <w:rPr>
          <w:sz w:val="20"/>
        </w:rPr>
      </w:pPr>
      <w:r>
        <w:rPr>
          <w:sz w:val="20"/>
        </w:rPr>
        <w:t>Students</w:t>
      </w:r>
      <w:r>
        <w:rPr>
          <w:spacing w:val="-3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required</w:t>
      </w:r>
      <w:r>
        <w:rPr>
          <w:spacing w:val="-2"/>
          <w:sz w:val="20"/>
        </w:rPr>
        <w:t> </w:t>
      </w:r>
      <w:r>
        <w:rPr>
          <w:sz w:val="20"/>
        </w:rPr>
        <w:t>foundation</w:t>
      </w:r>
      <w:r>
        <w:rPr>
          <w:spacing w:val="-3"/>
          <w:sz w:val="20"/>
        </w:rPr>
        <w:t> </w:t>
      </w:r>
      <w:r>
        <w:rPr>
          <w:sz w:val="20"/>
        </w:rPr>
        <w:t>units</w:t>
      </w:r>
      <w:r>
        <w:rPr>
          <w:spacing w:val="-4"/>
          <w:sz w:val="20"/>
        </w:rPr>
        <w:t> </w:t>
      </w:r>
      <w:r>
        <w:rPr>
          <w:sz w:val="20"/>
        </w:rPr>
        <w:t>+</w:t>
      </w:r>
      <w:r>
        <w:rPr>
          <w:spacing w:val="-4"/>
          <w:sz w:val="20"/>
        </w:rPr>
        <w:t> </w:t>
      </w:r>
      <w:r>
        <w:rPr>
          <w:sz w:val="20"/>
        </w:rPr>
        <w:t>major</w:t>
      </w:r>
      <w:r>
        <w:rPr>
          <w:spacing w:val="-3"/>
          <w:sz w:val="20"/>
        </w:rPr>
        <w:t> </w:t>
      </w:r>
      <w:r>
        <w:rPr>
          <w:sz w:val="20"/>
        </w:rPr>
        <w:t>sequence.</w:t>
        <w:tab/>
        <w:t>x</w:t>
      </w:r>
      <w:r>
        <w:rPr>
          <w:spacing w:val="-3"/>
          <w:sz w:val="20"/>
        </w:rPr>
        <w:t> </w:t>
      </w:r>
      <w:r>
        <w:rPr>
          <w:sz w:val="20"/>
        </w:rPr>
        <w:t>indicates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foundation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taken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L1</w:t>
      </w:r>
      <w:r>
        <w:rPr>
          <w:spacing w:val="-3"/>
          <w:sz w:val="20"/>
        </w:rPr>
        <w:t> </w:t>
      </w:r>
      <w:r>
        <w:rPr>
          <w:sz w:val="20"/>
        </w:rPr>
        <w:t>core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major.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9"/>
        <w:gridCol w:w="7281"/>
      </w:tblGrid>
      <w:tr>
        <w:trPr>
          <w:trHeight w:val="1343" w:hRule="atLeast"/>
        </w:trPr>
        <w:tc>
          <w:tcPr>
            <w:tcW w:w="7279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Example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 Finance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Major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+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+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Sequence)</w:t>
            </w:r>
          </w:p>
          <w:p>
            <w:pPr>
              <w:pStyle w:val="TableParagraph"/>
              <w:ind w:left="110" w:right="4763"/>
              <w:rPr>
                <w:sz w:val="22"/>
              </w:rPr>
            </w:pPr>
            <w:r>
              <w:rPr>
                <w:sz w:val="22"/>
              </w:rPr>
              <w:t>4 x Foundation (S1 and S2)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 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(S1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S2)</w:t>
            </w:r>
          </w:p>
          <w:p>
            <w:pPr>
              <w:pStyle w:val="TableParagraph"/>
              <w:spacing w:line="270" w:lineRule="atLeast"/>
              <w:ind w:left="110" w:right="3308"/>
              <w:rPr>
                <w:sz w:val="22"/>
              </w:rPr>
            </w:pPr>
            <w:r>
              <w:rPr>
                <w:sz w:val="22"/>
              </w:rPr>
              <w:t>1 x L2 Core in S1 + 2 x L2 Options (S1 or S2)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 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Core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S1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 L3 Options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S2)</w:t>
            </w:r>
          </w:p>
        </w:tc>
        <w:tc>
          <w:tcPr>
            <w:tcW w:w="7281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Example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Management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Major (2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+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+ 4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Sequence)</w:t>
            </w:r>
          </w:p>
          <w:p>
            <w:pPr>
              <w:pStyle w:val="TableParagraph"/>
              <w:ind w:left="110" w:right="4765"/>
              <w:rPr>
                <w:sz w:val="22"/>
              </w:rPr>
            </w:pPr>
            <w:r>
              <w:rPr>
                <w:sz w:val="22"/>
              </w:rPr>
              <w:t>4 x Foundation (S1 and S2)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 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(S1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S2)</w:t>
            </w:r>
          </w:p>
          <w:p>
            <w:pPr>
              <w:pStyle w:val="TableParagraph"/>
              <w:spacing w:line="270" w:lineRule="atLeast"/>
              <w:ind w:left="110" w:right="4977"/>
              <w:rPr>
                <w:sz w:val="22"/>
              </w:rPr>
            </w:pPr>
            <w:r>
              <w:rPr>
                <w:sz w:val="22"/>
              </w:rPr>
              <w:t>2 x L2 Options (S1 or S2)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4 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Options (S1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S2)</w:t>
            </w:r>
          </w:p>
        </w:tc>
      </w:tr>
    </w:tbl>
    <w:p>
      <w:pPr>
        <w:spacing w:after="0" w:line="270" w:lineRule="atLeast"/>
        <w:rPr>
          <w:sz w:val="22"/>
        </w:rPr>
        <w:sectPr>
          <w:pgSz w:w="16840" w:h="11910" w:orient="landscape"/>
          <w:pgMar w:header="764" w:footer="362" w:top="1500" w:bottom="560" w:left="740" w:right="740"/>
        </w:sectPr>
      </w:pPr>
    </w:p>
    <w:p>
      <w:pPr>
        <w:pStyle w:val="Heading1"/>
        <w:spacing w:before="3"/>
      </w:pPr>
      <w:r>
        <w:rPr>
          <w:color w:val="1F3E9A"/>
        </w:rPr>
        <w:t>Further Help</w:t>
      </w:r>
    </w:p>
    <w:p>
      <w:pPr>
        <w:pStyle w:val="BodyText"/>
        <w:ind w:left="392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to discuss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study plan</w:t>
      </w:r>
      <w:r>
        <w:rPr>
          <w:spacing w:val="-3"/>
        </w:rPr>
        <w:t> </w:t>
      </w:r>
      <w:r>
        <w:rPr/>
        <w:t>further,</w:t>
      </w:r>
      <w:r>
        <w:rPr>
          <w:spacing w:val="-3"/>
        </w:rPr>
        <w:t> </w:t>
      </w:r>
      <w:r>
        <w:rPr/>
        <w:t>please</w:t>
      </w:r>
      <w:r>
        <w:rPr>
          <w:spacing w:val="-1"/>
        </w:rPr>
        <w:t> </w:t>
      </w:r>
      <w:r>
        <w:rPr/>
        <w:t>contact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hyperlink r:id="rId8">
        <w:r>
          <w:rPr>
            <w:color w:val="0000FF"/>
            <w:u w:val="single" w:color="0000FF"/>
          </w:rPr>
          <w:t>EMS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Student Office</w:t>
        </w:r>
      </w:hyperlink>
    </w:p>
    <w:sectPr>
      <w:pgSz w:w="16840" w:h="11910" w:orient="landscape"/>
      <w:pgMar w:header="764" w:footer="362" w:top="1500" w:bottom="56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566.210022pt;width:635.6pt;height:10.050pt;mso-position-horizontal-relative:page;mso-position-vertical-relative:page;z-index:-16011776" type="#_x0000_t202" id="docshape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Information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in this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study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plan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is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correct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as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21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October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2021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but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subject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change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from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time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time.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In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particular,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University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reserves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right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change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 unit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availability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and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unit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rules.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6.119995pt;margin-top:37.190006pt;width:429.5pt;height:39.25pt;mso-position-horizontal-relative:page;mso-position-vertical-relative:page;z-index:-16012288" type="#_x0000_t202" id="docshape1" filled="false" stroked="false">
          <v:textbox inset="0,0,0,0">
            <w:txbxContent>
              <w:p>
                <w:pPr>
                  <w:spacing w:line="306" w:lineRule="exact" w:before="0"/>
                  <w:ind w:left="12" w:right="12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Bachelor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Engineering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XYZ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Engineering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Major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/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Bachelor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Commerce</w:t>
                </w:r>
              </w:p>
              <w:p>
                <w:pPr>
                  <w:spacing w:before="121"/>
                  <w:ind w:left="12" w:right="11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Study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Plan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-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Commencing:</w:t>
                </w:r>
                <w:r>
                  <w:rPr>
                    <w:b/>
                    <w:spacing w:val="5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Semester 1,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51" w:hanging="75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473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30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6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0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48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19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73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7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392"/>
      <w:outlineLvl w:val="1"/>
    </w:pPr>
    <w:rPr>
      <w:rFonts w:ascii="Calibri" w:hAnsi="Calibri" w:eastAsia="Calibri" w:cs="Calibri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ind w:left="12" w:right="11"/>
      <w:jc w:val="center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151" w:hanging="759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a.edu.au/students/my-course/study-areas/ems-students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C6E57-ED9B-44B4-B2E6-DC5EB1F57E93}"/>
</file>

<file path=customXml/itemProps2.xml><?xml version="1.0" encoding="utf-8"?>
<ds:datastoreItem xmlns:ds="http://schemas.openxmlformats.org/officeDocument/2006/customXml" ds:itemID="{5D44A911-30AD-46C6-A6E3-760520C14F5F}"/>
</file>

<file path=customXml/itemProps3.xml><?xml version="1.0" encoding="utf-8"?>
<ds:datastoreItem xmlns:ds="http://schemas.openxmlformats.org/officeDocument/2006/customXml" ds:itemID="{2F899C7D-16B2-4D51-B5DB-334E4F679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Egan</dc:creator>
  <dcterms:created xsi:type="dcterms:W3CDTF">2021-12-01T04:36:28Z</dcterms:created>
  <dcterms:modified xsi:type="dcterms:W3CDTF">2021-12-01T04:36:28Z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0x0101003CB8D44430D76D41A6F74E0E0A4D3FF8</vt:lpwstr>
  </property>
</Properties>
</file>